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12" w:lineRule="auto"/>
        <w:jc w:val="center"/>
        <w:rPr>
          <w:rFonts w:hint="eastAsia"/>
          <w:b/>
          <w:kern w:val="2"/>
          <w:sz w:val="32"/>
          <w:szCs w:val="32"/>
        </w:rPr>
      </w:pPr>
      <w:r>
        <w:rPr>
          <w:rFonts w:hint="eastAsia"/>
          <w:b/>
          <w:kern w:val="2"/>
          <w:sz w:val="32"/>
          <w:szCs w:val="32"/>
        </w:rPr>
        <w:t>财务状况及税收、社会保障资金缴纳情况声明函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我方</w:t>
      </w:r>
      <w:r>
        <w:rPr>
          <w:rFonts w:hint="eastAsia" w:ascii="宋体" w:hAnsi="宋体"/>
          <w:szCs w:val="21"/>
          <w:u w:val="single"/>
        </w:rPr>
        <w:t>（供应商名称）</w:t>
      </w:r>
      <w:r>
        <w:rPr>
          <w:rFonts w:hint="eastAsia" w:ascii="宋体" w:hAnsi="宋体"/>
          <w:szCs w:val="21"/>
        </w:rPr>
        <w:t>符合《中华人民共和国政府采购法》第二十二条第一款第（二）项、第（四）项规定条件，具体包括：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 具有健全的财务会计制度；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2．有依法缴纳税收和社会保障资金的良好记录。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特此声明。</w:t>
      </w:r>
    </w:p>
    <w:p>
      <w:pPr>
        <w:pStyle w:val="2"/>
        <w:snapToGrid/>
        <w:spacing w:line="360" w:lineRule="auto"/>
        <w:rPr>
          <w:rFonts w:hint="eastAsia" w:ascii="宋体" w:hAnsi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我方对上述声明的真实性负责。如有虛假，将依法承担相应责任。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供应商名称：（公章）</w:t>
      </w:r>
    </w:p>
    <w:p>
      <w:pPr>
        <w:spacing w:line="360" w:lineRule="auto"/>
        <w:ind w:firstLine="5040" w:firstLineChars="2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2NkMmI3YjU5MjY5MzQwM2ViYzAxNWIwOTIzNGMifQ=="/>
  </w:docVars>
  <w:rsids>
    <w:rsidRoot w:val="01C43E38"/>
    <w:rsid w:val="01C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2024-05-07T08:46:00Z</dcterms:created>
  <dc:creator>李剑伟</dc:creator>
  <cp:lastModifiedBy>李剑伟</cp:lastModifiedBy>
  <dcterms:modified xsi:type="dcterms:W3CDTF">2024-05-07T08:46:12Z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AF530DBEB1784D3FACA2279524FF468E_11</vt:lpwstr>
  </property>
</Properties>
</file>